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footnotes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57" w:after="0"/>
        <w:contextualSpacing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szCs w:val="20"/>
          <w:lang w:eastAsia="fr-FR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Accord-cadre relatif à la location et à la maintenance de systèmes d’impression numériques professionnels avec prestations associées au profit des ateliers et points d’impression des services déconcentrés de l’Etat et d’établissements publics de la région Auvergne Rhône Alpes.</w:t>
      </w:r>
    </w:p>
    <w:p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bCs/>
        </w:rPr>
      </w:pPr>
      <w:bookmarkStart w:id="0" w:name="_Hlk184137022"/>
      <w:r>
        <w:rPr>
          <w:rFonts w:cs="Arial" w:ascii="Arial" w:hAnsi="Arial"/>
          <w:b/>
          <w:bCs/>
        </w:rPr>
        <w:t>(SolimProd 2)</w:t>
      </w:r>
      <w:bookmarkEnd w:id="0"/>
    </w:p>
    <w:p>
      <w:pPr>
        <w:pStyle w:val="Standard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Standard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cs="Arial" w:ascii="Arial" w:hAnsi="Arial"/>
          <w:b/>
          <w:bCs/>
          <w:caps/>
          <w:sz w:val="22"/>
          <w:szCs w:val="22"/>
        </w:rPr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  <w:t>annexe AE 4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  <w:t>(Lot N°3)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  <w:t>Questionnaire sur la reprise des équipements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Marianne" w:hAnsi="Marianne" w:cs="Arial"/>
          <w:b/>
          <w:bCs/>
          <w:caps/>
          <w:sz w:val="22"/>
          <w:szCs w:val="22"/>
        </w:rPr>
      </w:pPr>
      <w:r>
        <w:rPr>
          <w:rFonts w:cs="Arial" w:ascii="Marianne" w:hAnsi="Marianne"/>
          <w:b/>
          <w:bCs/>
          <w:caps/>
          <w:sz w:val="22"/>
          <w:szCs w:val="22"/>
        </w:rPr>
      </w:r>
    </w:p>
    <w:p>
      <w:pPr>
        <w:pStyle w:val="Standard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Arial" w:hAnsi="Arial" w:eastAsia="Times New Roman" w:cs="Arial"/>
          <w:szCs w:val="20"/>
          <w:lang w:eastAsia="fr-FR"/>
        </w:rPr>
      </w:pPr>
      <w:r>
        <w:rPr>
          <w:rFonts w:eastAsia="Times New Roman" w:cs="Arial" w:ascii="Arial" w:hAnsi="Arial"/>
          <w:b/>
          <w:bCs/>
          <w:szCs w:val="20"/>
          <w:lang w:eastAsia="fr-FR"/>
        </w:rPr>
        <w:t>Numéro de consultation : PFRA-2025-PFRA-SOLIMPROD2</w:t>
      </w:r>
    </w:p>
    <w:p>
      <w:pPr>
        <w:pStyle w:val="Normal"/>
        <w:spacing w:before="57" w:after="0"/>
        <w:contextualSpacing/>
        <w:rPr>
          <w:rFonts w:ascii="Arial" w:hAnsi="Arial" w:eastAsia="Times New Roman" w:cs="Arial"/>
          <w:b/>
          <w:bCs/>
          <w:szCs w:val="20"/>
          <w:lang w:eastAsia="fr-FR"/>
        </w:rPr>
      </w:pPr>
      <w:r>
        <w:rPr>
          <w:rFonts w:eastAsia="Times New Roman" w:cs="Arial" w:ascii="Arial" w:hAnsi="Arial"/>
          <w:b/>
          <w:bCs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Arial" w:hAnsi="Arial" w:eastAsia="Times New Roman" w:cs="Arial"/>
          <w:szCs w:val="20"/>
          <w:lang w:eastAsia="fr-FR"/>
        </w:rPr>
      </w:pPr>
      <w:r>
        <w:rPr>
          <w:rFonts w:eastAsia="Times New Roman" w:cs="Arial" w:ascii="Arial" w:hAnsi="Arial"/>
          <w:b/>
          <w:bCs/>
          <w:szCs w:val="20"/>
          <w:lang w:eastAsia="fr-FR"/>
        </w:rPr>
        <w:t>Procédure de passation :</w:t>
      </w:r>
      <w:r>
        <w:rPr>
          <w:rFonts w:eastAsia="Times New Roman" w:cs="Arial" w:ascii="Arial" w:hAnsi="Arial"/>
          <w:szCs w:val="20"/>
          <w:lang w:eastAsia="fr-FR"/>
        </w:rPr>
        <w:t xml:space="preserve"> Appel d’offres ouvert </w:t>
      </w:r>
    </w:p>
    <w:p>
      <w:pPr>
        <w:pStyle w:val="Normal"/>
        <w:spacing w:before="0" w:after="0"/>
        <w:contextualSpacing w:val="false"/>
        <w:jc w:val="center"/>
        <w:rPr>
          <w:rFonts w:ascii="Liberation Sans" w:hAnsi="Liberation Sans" w:eastAsia="SimSun" w:cs="Mangal"/>
          <w:b/>
          <w:kern w:val="2"/>
          <w:sz w:val="24"/>
          <w:szCs w:val="24"/>
          <w:lang w:eastAsia="zh-CN" w:bidi="hi-IN"/>
        </w:rPr>
      </w:pPr>
      <w:r>
        <w:rPr>
          <w:rFonts w:eastAsia="SimSun" w:cs="Mangal" w:ascii="Liberation Sans" w:hAnsi="Liberation Sans"/>
          <w:b/>
          <w:kern w:val="2"/>
          <w:sz w:val="24"/>
          <w:szCs w:val="24"/>
          <w:lang w:eastAsia="zh-CN" w:bidi="hi-IN"/>
        </w:rPr>
      </w:r>
      <w:r>
        <w:br w:type="page"/>
      </w:r>
    </w:p>
    <w:p>
      <w:pPr>
        <w:pStyle w:val="BodyText"/>
        <w:pBdr>
          <w:bottom w:val="single" w:sz="4" w:space="1" w:color="000000"/>
        </w:pBdr>
        <w:spacing w:before="0" w:after="120"/>
        <w:jc w:val="center"/>
        <w:rPr>
          <w:rFonts w:ascii="Arial" w:hAnsi="Arial" w:cs="Arial"/>
          <w:b/>
          <w:sz w:val="24"/>
        </w:rPr>
      </w:pPr>
      <w:r>
        <w:rPr>
          <w:rFonts w:cs="Arial" w:ascii="Arial" w:hAnsi="Arial"/>
          <w:b/>
          <w:sz w:val="24"/>
        </w:rPr>
        <w:t>A remplir et signer par le titulaire du marché</w:t>
      </w:r>
    </w:p>
    <w:p>
      <w:pPr>
        <w:pStyle w:val="BodyText"/>
        <w:jc w:val="center"/>
        <w:rPr>
          <w:rFonts w:ascii="Marianne" w:hAnsi="Marianne" w:cs="Arial"/>
          <w:b/>
          <w:bCs/>
        </w:rPr>
      </w:pPr>
      <w:r>
        <w:rPr>
          <w:rFonts w:cs="Arial" w:ascii="Marianne" w:hAnsi="Marianne"/>
          <w:b/>
          <w:bCs/>
        </w:rPr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Le présent mémoire vise à décrire le système d’enlèvement et de traitement des solutions d’impression en fin d’usage mis en œuvre dans le cadre de l’exécution du marché. </w:t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  <w:t>Le titulaire transmet à l’acheteur ce questionnaire dûment rempli dans un délai d’un mois à compter de la notification du marché.</w:t>
      </w:r>
    </w:p>
    <w:p>
      <w:pPr>
        <w:pStyle w:val="Normal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BodyText"/>
        <w:spacing w:before="0" w:after="10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Le terme « producteur » est considéré au sens de la réglementation relative aux déchets d’équipements électriques et électroniques (art. R. 543-174 du code de l’environnement).</w:t>
      </w:r>
    </w:p>
    <w:p>
      <w:pPr>
        <w:pStyle w:val="BodyText"/>
        <w:spacing w:before="0" w:after="10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ainsi considérée comme producteur toute personne physique ou morale qui, quelle que soit la technique de vente utilisée, y compris par communication à distance :</w:t>
      </w:r>
    </w:p>
    <w:p>
      <w:pPr>
        <w:pStyle w:val="BodyText"/>
        <w:numPr>
          <w:ilvl w:val="0"/>
          <w:numId w:val="3"/>
        </w:numPr>
        <w:spacing w:before="0" w:after="100"/>
        <w:ind w:hanging="357" w:left="71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établie en France et sous son propre nom ou sa propre marque, fabrique, fait concevoir ou fabriquer à des fins de commercialisation ou revend des équipements électriques et électroniques ;</w:t>
      </w:r>
    </w:p>
    <w:p>
      <w:pPr>
        <w:pStyle w:val="BodyText"/>
        <w:numPr>
          <w:ilvl w:val="0"/>
          <w:numId w:val="3"/>
        </w:numPr>
        <w:spacing w:before="0" w:after="100"/>
        <w:ind w:hanging="357" w:left="71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établie en France et met sur le marché à titre professionnel, des équipements électriques et électroniques provenant d'un pays tiers ou d'un autre Etat membre ;</w:t>
      </w:r>
    </w:p>
    <w:p>
      <w:pPr>
        <w:pStyle w:val="BodyText"/>
        <w:numPr>
          <w:ilvl w:val="0"/>
          <w:numId w:val="3"/>
        </w:numPr>
        <w:spacing w:before="0" w:after="100"/>
        <w:ind w:hanging="357" w:left="71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établie dans un autre Etat membre ou dans un pays tiers et vend en France des équipements électriques et électroniques par communication à distance directement aux utilisateurs.</w:t>
      </w:r>
    </w:p>
    <w:p>
      <w:pPr>
        <w:pStyle w:val="Normal"/>
        <w:spacing w:before="0" w:after="0"/>
        <w:contextualSpacing w:val="false"/>
        <w:jc w:val="center"/>
        <w:rPr>
          <w:rFonts w:ascii="Marianne" w:hAnsi="Marianne" w:eastAsia="SimSun" w:cs="Arial"/>
          <w:kern w:val="2"/>
          <w:lang w:eastAsia="zh-CN" w:bidi="hi-IN"/>
        </w:rPr>
      </w:pPr>
      <w:r>
        <w:rPr>
          <w:rFonts w:eastAsia="SimSun" w:cs="Arial" w:ascii="Marianne" w:hAnsi="Marianne"/>
          <w:kern w:val="2"/>
          <w:lang w:eastAsia="zh-CN" w:bidi="hi-IN"/>
        </w:rPr>
      </w:r>
      <w:r>
        <w:br w:type="page"/>
      </w:r>
    </w:p>
    <w:p>
      <w:pPr>
        <w:pStyle w:val="BodyText"/>
        <w:numPr>
          <w:ilvl w:val="0"/>
          <w:numId w:val="4"/>
        </w:numPr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Raison sociale de la société titulaire et contact référent pour la gestion des déchets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Etes-vous considéré comme le producteur des équipements électriques et électroniques fournis dans le cadre du marché au sens de la réglementation ?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sdt>
        <w:sdtPr>
          <w:id w:val="-967509283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Cs w:val="20"/>
            </w:rPr>
          </w:r>
          <w:r>
            <w:rPr>
              <w:rFonts w:eastAsia="MS Gothic" w:cs="Segoe UI Symbol" w:ascii="Segoe UI Symbol" w:hAnsi="Segoe UI Symbol"/>
              <w:szCs w:val="20"/>
            </w:rPr>
            <w:t>☐</w:t>
          </w:r>
        </w:sdtContent>
      </w:sdt>
      <w:r>
        <w:rPr>
          <w:rFonts w:cs="Arial" w:ascii="Arial" w:hAnsi="Arial"/>
          <w:szCs w:val="20"/>
        </w:rPr>
        <w:t xml:space="preserve"> </w:t>
      </w:r>
      <w:r>
        <w:rPr>
          <w:rFonts w:cs="Arial" w:ascii="Arial" w:hAnsi="Arial"/>
          <w:szCs w:val="20"/>
        </w:rPr>
        <w:t xml:space="preserve">Oui    </w:t>
      </w:r>
      <w:sdt>
        <w:sdtPr>
          <w:id w:val="1438101439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Arial" w:ascii="Arial" w:hAnsi="Arial"/>
              <w:szCs w:val="20"/>
            </w:rPr>
          </w:r>
          <w:r>
            <w:rPr>
              <w:rFonts w:eastAsia="MS Gothic" w:cs="Segoe UI Symbol" w:ascii="Segoe UI Symbol" w:hAnsi="Segoe UI Symbol"/>
              <w:szCs w:val="20"/>
            </w:rPr>
            <w:t>☐</w:t>
          </w:r>
        </w:sdtContent>
      </w:sdt>
      <w:r>
        <w:rPr>
          <w:rFonts w:cs="Arial" w:ascii="Arial" w:hAnsi="Arial"/>
          <w:szCs w:val="20"/>
        </w:rPr>
        <w:t xml:space="preserve">  Non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Identification du producteur des équipements fournis dans le cadre du marché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Nom du producteur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Raison sociale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Adresse du siège social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Coordonnées téléphonique du siège social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Observations éventuelles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Système mis en place par le producteur des équipements</w:t>
      </w:r>
    </w:p>
    <w:p>
      <w:pPr>
        <w:pStyle w:val="BodyText"/>
        <w:jc w:val="both"/>
        <w:rPr>
          <w:rFonts w:ascii="Arial" w:hAnsi="Arial" w:cs="Arial"/>
          <w:b/>
          <w:bCs/>
          <w:szCs w:val="20"/>
        </w:rPr>
      </w:pPr>
      <w:r>
        <w:rPr>
          <w:rFonts w:cs="Arial" w:ascii="Arial" w:hAnsi="Arial"/>
          <w:szCs w:val="20"/>
        </w:rPr>
        <w:t>En application de l’article R.543-196 du Code de l’environnement, le titulaire indique ci-dessous le dispositif choisi par le producteur (système individuel ou éco-organisme agréé) pour assurer ses obligations réglementaires en matière d’enlèvement des déchets issus des équipements qu’il produit ainsi que le nom du dispositif et les coordonnées des personnes à contacter pour assurer l’enlèvement.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</w:r>
    </w:p>
    <w:tbl>
      <w:tblPr>
        <w:tblStyle w:val="Grilledutableau"/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97"/>
        <w:gridCol w:w="7340"/>
      </w:tblGrid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Système individuel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id w:val="891241185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</w:r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  <w:t>☐</w:t>
                </w:r>
              </w:sdtContent>
            </w:sdt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(case à cocher lorsque le producteur a opté pour le dispositif du système individuel, joindre l’attestation correspondante</w:t>
            </w:r>
            <w:r>
              <w:rPr>
                <w:rStyle w:val="FootnoteReference"/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footnoteReference w:id="2"/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)</w:t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 du système individuel tel que ce nom figure dans le registre de l’ADEME</w:t>
            </w:r>
            <w:bookmarkStart w:id="1" w:name="_Ref487725492"/>
            <w:r>
              <w:rPr>
                <w:rStyle w:val="FootnoteReference"/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  <w:footnoteReference w:id="3"/>
            </w:r>
            <w:bookmarkEnd w:id="1"/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 xml:space="preserve"> où les producteurs d’équipements électriques et électroniques sont tenus de s’enregistrer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Nom, prénom, coordonnées téléphoniques, adresse des personnes à contacter pour assurer l’enlèvement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>(joindre éventuellement une liste)</w:t>
            </w:r>
          </w:p>
        </w:tc>
      </w:tr>
    </w:tbl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</w:r>
    </w:p>
    <w:p>
      <w:pPr>
        <w:pStyle w:val="Normal"/>
        <w:spacing w:before="0" w:after="0"/>
        <w:contextualSpacing w:val="false"/>
        <w:jc w:val="center"/>
        <w:rPr>
          <w:rFonts w:ascii="Marianne" w:hAnsi="Marianne" w:eastAsia="SimSun" w:cs="Arial"/>
          <w:b/>
          <w:kern w:val="2"/>
          <w:lang w:eastAsia="zh-CN" w:bidi="hi-IN"/>
        </w:rPr>
      </w:pPr>
      <w:r>
        <w:rPr>
          <w:rFonts w:eastAsia="SimSun" w:cs="Arial" w:ascii="Marianne" w:hAnsi="Marianne"/>
          <w:b/>
          <w:kern w:val="2"/>
          <w:lang w:eastAsia="zh-CN" w:bidi="hi-IN"/>
        </w:rPr>
      </w:r>
      <w:r>
        <w:br w:type="page"/>
      </w:r>
    </w:p>
    <w:tbl>
      <w:tblPr>
        <w:tblStyle w:val="Grilledutableau"/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97"/>
        <w:gridCol w:w="7340"/>
      </w:tblGrid>
      <w:tr>
        <w:trPr/>
        <w:tc>
          <w:tcPr>
            <w:tcW w:w="2297" w:type="dxa"/>
            <w:tcBorders/>
          </w:tcPr>
          <w:p>
            <w:pPr>
              <w:pStyle w:val="Contenudetableau"/>
              <w:pageBreakBefore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Dispositif d’adhésion à un éco-organisme agréé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id w:val="-131800424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</w:r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  <w:t>☐</w:t>
                </w:r>
              </w:sdtContent>
            </w:sdt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(case à cocher lorsque le producteur a opté pour le dispositif d’adhésion à un éco-organisme agréé</w:t>
            </w:r>
            <w:r>
              <w:rPr>
                <w:rStyle w:val="FootnoteReference"/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footnoteReference w:id="4"/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)</w:t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 de l’éco-organisme agréé tel que ce nom figure dans le registre de l’ADEME où l’éco-organisme agréé est tenu d’enregistrer ses adhérents</w:t>
            </w:r>
            <w:r>
              <w:rPr>
                <w:rStyle w:val="FootnoteReference"/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footnoteReference w:id="5"/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Nom, prénom, coordonnées téléphoniques, adresse des personnes à contacter pour assurer l’enlèvement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>(joindre éventuellement une liste)</w:t>
            </w:r>
          </w:p>
        </w:tc>
      </w:tr>
    </w:tbl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BodyText"/>
        <w:keepNext w:val="true"/>
        <w:numPr>
          <w:ilvl w:val="0"/>
          <w:numId w:val="4"/>
        </w:numPr>
        <w:tabs>
          <w:tab w:val="clear" w:pos="709"/>
          <w:tab w:val="left" w:pos="9072" w:leader="dot"/>
        </w:tabs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  <w:u w:val="single"/>
        </w:rPr>
        <w:t>Quel que soit le système mis en place</w:t>
      </w:r>
      <w:r>
        <w:rPr>
          <w:rFonts w:cs="Arial" w:ascii="Arial" w:hAnsi="Arial"/>
          <w:b/>
          <w:szCs w:val="20"/>
        </w:rPr>
        <w:t xml:space="preserve">, quel(s) mode(s) de traitement est (sont) appliqué(s) aux consommables usagées </w:t>
      </w:r>
      <w:r>
        <w:rPr>
          <w:rFonts w:cs="Arial" w:ascii="Arial" w:hAnsi="Arial"/>
          <w:b/>
          <w:i/>
          <w:szCs w:val="20"/>
        </w:rPr>
        <w:t xml:space="preserve">– plusieurs choix possibles, indiquez les pourcentages. </w:t>
      </w:r>
      <w:r>
        <w:rPr>
          <w:rFonts w:cs="Arial" w:ascii="Arial" w:hAnsi="Arial"/>
          <w:bCs/>
          <w:szCs w:val="20"/>
        </w:rPr>
        <w:t>Justificatifs à fournir.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925461370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La réutilisation ou le réemploi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-2015300847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Le recyclage (matière ou autre)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1155268948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Toute autre valorisation, notamment la valorisation énergétique (combustible, remblais…)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1156027974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L'élimination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887679596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Information non détenue par le soumissionnaire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Des acteurs de l’ESS prennent-ils part aux opérations de traitement ? Si oui, lesquelles ? Décrivez</w:t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Compléments pour décrire la démarche mise en place en vue de privilégier la réutilisation et le réemploi des équipements faisant l’objet d’une reprise</w:t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bookmarkStart w:id="2" w:name="_Hlk187672008"/>
      <w:r>
        <w:rPr>
          <w:rFonts w:cs="Arial" w:ascii="Arial" w:hAnsi="Arial"/>
          <w:szCs w:val="20"/>
        </w:rPr>
        <w:tab/>
      </w:r>
      <w:bookmarkEnd w:id="2"/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Normal"/>
        <w:spacing w:before="0" w:after="0"/>
        <w:contextualSpacing w:val="false"/>
        <w:rPr>
          <w:rFonts w:ascii="Arial" w:hAnsi="Arial" w:eastAsia="SimSun" w:cs="Arial"/>
          <w:kern w:val="2"/>
          <w:sz w:val="20"/>
          <w:szCs w:val="20"/>
          <w:lang w:eastAsia="zh-CN" w:bidi="hi-IN"/>
        </w:rPr>
      </w:pP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</w:r>
    </w:p>
    <w:p>
      <w:pPr>
        <w:pStyle w:val="BodyText"/>
        <w:tabs>
          <w:tab w:val="clear" w:pos="709"/>
          <w:tab w:val="left" w:pos="3261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Fait à </w:t>
        <w:tab/>
      </w:r>
    </w:p>
    <w:p>
      <w:pPr>
        <w:pStyle w:val="BodyText"/>
        <w:tabs>
          <w:tab w:val="clear" w:pos="709"/>
          <w:tab w:val="left" w:pos="1701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Le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2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Signature du titulaire :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Tahoma">
    <w:charset w:val="01"/>
    <w:family w:val="auto"/>
    <w:pitch w:val="default"/>
  </w:font>
  <w:font w:name="Times New Roman">
    <w:charset w:val="01"/>
    <w:family w:val="auto"/>
    <w:pitch w:val="default"/>
  </w:font>
  <w:font w:name="Marianne">
    <w:charset w:val="01"/>
    <w:family w:val="auto"/>
    <w:pitch w:val="default"/>
  </w:font>
  <w:font w:name="Arial">
    <w:charset w:val="01"/>
    <w:family w:val="auto"/>
    <w:pitch w:val="default"/>
  </w:font>
  <w:font w:name="Segoe UI Symbol">
    <w:charset w:val="01"/>
    <w:family w:val="auto"/>
    <w:pitch w:val="default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Fonts w:eastAsia="Times New Roman" w:cs="Arial" w:ascii="Arial" w:hAnsi="Arial"/>
        <w:b/>
        <w:bCs/>
        <w:sz w:val="20"/>
        <w:szCs w:val="20"/>
        <w:lang w:eastAsia="fr-FR"/>
      </w:rPr>
      <w:t xml:space="preserve">PFRA-2025-PFRA-SOLIMPROD2     </w:t>
    </w:r>
    <w:r>
      <w:rPr>
        <w:rFonts w:cs="Arial" w:ascii="Arial" w:hAnsi="Arial"/>
        <w:sz w:val="20"/>
        <w:szCs w:val="20"/>
      </w:rPr>
      <w:tab/>
    </w:r>
    <w:r>
      <w:rPr>
        <w:rFonts w:cs="Arial" w:ascii="Arial" w:hAnsi="Arial"/>
        <w:sz w:val="20"/>
        <w:szCs w:val="20"/>
      </w:rPr>
      <w:fldChar w:fldCharType="begin"/>
    </w:r>
    <w:r>
      <w:rPr>
        <w:sz w:val="20"/>
        <w:szCs w:val="20"/>
        <w:rFonts w:cs="Arial" w:ascii="Arial" w:hAnsi="Arial"/>
      </w:rPr>
      <w:instrText xml:space="preserve"> FILENAME </w:instrText>
    </w:r>
    <w:r>
      <w:rPr>
        <w:sz w:val="20"/>
        <w:szCs w:val="20"/>
        <w:rFonts w:cs="Arial" w:ascii="Arial" w:hAnsi="Arial"/>
      </w:rPr>
      <w:fldChar w:fldCharType="separate"/>
    </w:r>
    <w:r>
      <w:rPr>
        <w:sz w:val="20"/>
        <w:szCs w:val="20"/>
        <w:rFonts w:cs="Arial" w:ascii="Arial" w:hAnsi="Arial"/>
      </w:rPr>
      <w:t>SolimProd 2_PFRA ARA_Lot 3_Annexe AE 4_QuestionnaireRepriseEquipements_vf.docx</w:t>
    </w:r>
    <w:r>
      <w:rPr>
        <w:sz w:val="20"/>
        <w:szCs w:val="20"/>
        <w:rFonts w:cs="Arial" w:ascii="Arial" w:hAnsi="Arial"/>
      </w:rPr>
      <w:fldChar w:fldCharType="end"/>
    </w:r>
    <w:r>
      <w:rPr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  <w:r>
      <w:rPr/>
      <w:t>/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Fonts w:eastAsia="Times New Roman" w:cs="Arial" w:ascii="Arial" w:hAnsi="Arial"/>
        <w:b/>
        <w:bCs/>
        <w:sz w:val="20"/>
        <w:szCs w:val="20"/>
        <w:lang w:eastAsia="fr-FR"/>
      </w:rPr>
      <w:t xml:space="preserve">PFRA-2025-PFRA-SOLIMPROD2     </w:t>
    </w:r>
    <w:r>
      <w:rPr>
        <w:rFonts w:cs="Arial" w:ascii="Arial" w:hAnsi="Arial"/>
        <w:sz w:val="20"/>
        <w:szCs w:val="20"/>
      </w:rPr>
      <w:tab/>
    </w:r>
    <w:r>
      <w:rPr>
        <w:rFonts w:cs="Arial" w:ascii="Arial" w:hAnsi="Arial"/>
        <w:sz w:val="20"/>
        <w:szCs w:val="20"/>
      </w:rPr>
      <w:fldChar w:fldCharType="begin"/>
    </w:r>
    <w:r>
      <w:rPr>
        <w:sz w:val="20"/>
        <w:szCs w:val="20"/>
        <w:rFonts w:cs="Arial" w:ascii="Arial" w:hAnsi="Arial"/>
      </w:rPr>
      <w:instrText xml:space="preserve"> FILENAME </w:instrText>
    </w:r>
    <w:r>
      <w:rPr>
        <w:sz w:val="20"/>
        <w:szCs w:val="20"/>
        <w:rFonts w:cs="Arial" w:ascii="Arial" w:hAnsi="Arial"/>
      </w:rPr>
      <w:fldChar w:fldCharType="separate"/>
    </w:r>
    <w:r>
      <w:rPr>
        <w:sz w:val="20"/>
        <w:szCs w:val="20"/>
        <w:rFonts w:cs="Arial" w:ascii="Arial" w:hAnsi="Arial"/>
      </w:rPr>
      <w:t>SolimProd 2_PFRA ARA_Lot 3_Annexe AE 4_QuestionnaireRepriseEquipements_vf.docx</w:t>
    </w:r>
    <w:r>
      <w:rPr>
        <w:sz w:val="20"/>
        <w:szCs w:val="20"/>
        <w:rFonts w:cs="Arial" w:ascii="Arial" w:hAnsi="Arial"/>
      </w:rPr>
      <w:fldChar w:fldCharType="end"/>
    </w:r>
    <w:r>
      <w:rPr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>/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>Art. R. 543-197-1 du Code de l’environnement.</w:t>
      </w:r>
    </w:p>
  </w:footnote>
  <w:footnote w:id="3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 xml:space="preserve">« Art. R. 543-202 du code de l’environnement. Le registre de l’ADEME est consultable à : </w:t>
      </w:r>
      <w:hyperlink r:id="rId1">
        <w:r>
          <w:rPr>
            <w:rStyle w:val="Hyperlink"/>
          </w:rPr>
          <w:t>https://registres.ademe.fr</w:t>
        </w:r>
      </w:hyperlink>
      <w:r>
        <w:rPr>
          <w:rStyle w:val="InternetLink"/>
        </w:rPr>
        <w:t> »</w:t>
      </w:r>
    </w:p>
  </w:footnote>
  <w:footnote w:id="4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>Art R. 543-197 du Code de l’environnement</w:t>
      </w:r>
    </w:p>
  </w:footnote>
  <w:footnote w:id="5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 xml:space="preserve">§ 4 du chapitre II du cahier des charges annexé à l’agrément d’un organisme </w:t>
      </w:r>
      <w:r>
        <w:rPr>
          <w:rFonts w:eastAsia="Times New Roman" w:cs="Times New Roman"/>
        </w:rPr>
        <w:t xml:space="preserve">délivré en application des articles </w:t>
      </w:r>
      <w:r>
        <w:rPr/>
        <w:t>R. 543-196</w:t>
      </w:r>
      <w:r>
        <w:rPr>
          <w:rFonts w:eastAsia="Times New Roman" w:cs="Times New Roman"/>
        </w:rPr>
        <w:t xml:space="preserve"> et </w:t>
      </w:r>
      <w:r>
        <w:rPr/>
        <w:t>R. 543-197</w:t>
      </w:r>
      <w:r>
        <w:rPr>
          <w:rFonts w:eastAsia="Times New Roman" w:cs="Times New Roman"/>
        </w:rPr>
        <w:t xml:space="preserve"> du code de l’environnement. </w:t>
      </w:r>
      <w:r>
        <w:rPr/>
        <w:t xml:space="preserve">Le registre de l’ADEME est consultable à : </w:t>
      </w:r>
      <w:hyperlink r:id="rId2">
        <w:r>
          <w:rPr>
            <w:rStyle w:val="Hyperlink"/>
          </w:rPr>
          <w:t>https://registres.ademe.fr</w:t>
        </w:r>
      </w:hyperlink>
      <w:r>
        <w:rPr>
          <w:rStyle w:val="InternetLink"/>
        </w:rPr>
        <w:t> »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tenudecadre"/>
      <w:overflowPunct w:val="true"/>
      <w:bidi w:val="0"/>
      <w:spacing w:before="0" w:after="0"/>
      <w:contextualSpacing w:val="false"/>
      <w:jc w:val="right"/>
      <w:rPr/>
    </w:pPr>
    <w:r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-400050</wp:posOffset>
          </wp:positionH>
          <wp:positionV relativeFrom="paragraph">
            <wp:posOffset>-413385</wp:posOffset>
          </wp:positionV>
          <wp:extent cx="836930" cy="852805"/>
          <wp:effectExtent l="0" t="0" r="0" b="0"/>
          <wp:wrapSquare wrapText="largest"/>
          <wp:docPr id="1" name="Image1 Copie 1 Copie 1 Copi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 Copie 1 Copie 1 Copi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852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112395" distR="114935" simplePos="0" locked="0" layoutInCell="0" allowOverlap="1" relativeHeight="14">
              <wp:simplePos x="0" y="0"/>
              <wp:positionH relativeFrom="column">
                <wp:posOffset>4328160</wp:posOffset>
              </wp:positionH>
              <wp:positionV relativeFrom="paragraph">
                <wp:posOffset>104140</wp:posOffset>
              </wp:positionV>
              <wp:extent cx="2439035" cy="441960"/>
              <wp:effectExtent l="0" t="0" r="0" b="0"/>
              <wp:wrapTopAndBottom/>
              <wp:docPr id="2" name="Form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9000" cy="442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overflowPunct w:val="true"/>
                            <w:bidi w:val="0"/>
                            <w:spacing w:before="0" w:after="0"/>
                            <w:contextualSpacing w:val="false"/>
                            <w:jc w:val="right"/>
                            <w:rPr>
                              <w:rFonts w:eastAsia="Andale Sans UI;Arial Unicode MS" w:cs="Marianne"/>
                              <w:b/>
                              <w:bCs/>
                              <w:color w:val="auto"/>
                              <w:kern w:val="2"/>
                              <w:sz w:val="26"/>
                              <w:szCs w:val="26"/>
                              <w:lang w:val="fr-FR" w:eastAsia="ja-JP" w:bidi="fa-I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orme 1" path="m0,0l-2147483645,0l-2147483645,-2147483646l0,-2147483646xe" stroked="f" o:allowincell="f" style="position:absolute;margin-left:340.8pt;margin-top:8.2pt;width:192pt;height:34.75pt;mso-wrap-style:none;v-text-anchor:middl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overflowPunct w:val="true"/>
                      <w:bidi w:val="0"/>
                      <w:spacing w:before="0" w:after="0"/>
                      <w:contextualSpacing w:val="false"/>
                      <w:jc w:val="right"/>
                      <w:rPr>
                        <w:rFonts w:eastAsia="Andale Sans UI;Arial Unicode MS" w:cs="Marianne"/>
                        <w:b/>
                        <w:bCs/>
                        <w:color w:val="auto"/>
                        <w:kern w:val="2"/>
                        <w:sz w:val="26"/>
                        <w:szCs w:val="26"/>
                        <w:lang w:val="fr-FR" w:eastAsia="ja-JP" w:bidi="fa-IR"/>
                      </w:rPr>
                    </w:pPr>
                    <w:r>
                      <w:rPr/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rPr>
        <w:rFonts w:eastAsia="Andale Sans UI;Arial Unicode MS" w:cs="Marianne"/>
        <w:b/>
        <w:bCs/>
        <w:color w:val="auto"/>
        <w:kern w:val="2"/>
        <w:sz w:val="26"/>
        <w:szCs w:val="26"/>
        <w:lang w:val="fr-FR" w:eastAsia="ja-JP" w:bidi="fa-IR"/>
      </w:rPr>
      <w:t>Secrétariat général</w:t>
    </w:r>
  </w:p>
  <w:p>
    <w:pPr>
      <w:pStyle w:val="Contenudecadre"/>
      <w:overflowPunct w:val="true"/>
      <w:bidi w:val="0"/>
      <w:spacing w:before="0" w:after="0"/>
      <w:contextualSpacing w:val="false"/>
      <w:jc w:val="right"/>
      <w:rPr/>
    </w:pPr>
    <w:r>
      <w:rPr>
        <w:rFonts w:eastAsia="Andale Sans UI;Arial Unicode MS" w:cs="Marianne"/>
        <w:b/>
        <w:bCs/>
        <w:color w:val="auto"/>
        <w:kern w:val="2"/>
        <w:sz w:val="26"/>
        <w:szCs w:val="26"/>
        <w:lang w:val="fr-FR" w:eastAsia="ja-JP" w:bidi="fa-IR"/>
      </w:rPr>
      <w:t>pour les affaires régionales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rPr/>
    </w:pPr>
    <w:r>
      <w:rPr/>
    </w:r>
  </w:p>
  <w:p>
    <w:pPr>
      <w:pStyle w:val="BodyText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-495300</wp:posOffset>
          </wp:positionH>
          <wp:positionV relativeFrom="paragraph">
            <wp:posOffset>-45085</wp:posOffset>
          </wp:positionV>
          <wp:extent cx="836930" cy="852805"/>
          <wp:effectExtent l="0" t="0" r="0" b="0"/>
          <wp:wrapSquare wrapText="largest"/>
          <wp:docPr id="3" name="Image1 Copie 1 Copi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 Copie 1 Copi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852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BodyText"/>
      <w:rPr/>
    </w:pPr>
    <w:r>
      <w:rPr/>
    </w:r>
  </w:p>
  <w:p>
    <w:pPr>
      <w:pStyle w:val="Normal"/>
      <w:tabs>
        <w:tab w:val="clear" w:pos="709"/>
        <w:tab w:val="right" w:pos="9026" w:leader="none"/>
      </w:tabs>
      <w:jc w:val="right"/>
      <w:rPr>
        <w:rFonts w:ascii="Marianne" w:hAnsi="Marianne"/>
        <w:b/>
        <w:bCs/>
        <w:sz w:val="24"/>
        <w:szCs w:val="24"/>
      </w:rPr>
    </w:pPr>
    <w:r>
      <mc:AlternateContent>
        <mc:Choice Requires="wps">
          <w:drawing>
            <wp:anchor behindDoc="1" distT="0" distB="0" distL="112395" distR="114935" simplePos="0" locked="0" layoutInCell="0" allowOverlap="1" relativeHeight="3">
              <wp:simplePos x="0" y="0"/>
              <wp:positionH relativeFrom="column">
                <wp:posOffset>4328160</wp:posOffset>
              </wp:positionH>
              <wp:positionV relativeFrom="paragraph">
                <wp:posOffset>104140</wp:posOffset>
              </wp:positionV>
              <wp:extent cx="2439035" cy="441960"/>
              <wp:effectExtent l="0" t="0" r="0" b="0"/>
              <wp:wrapTopAndBottom/>
              <wp:docPr id="4" name="Form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9000" cy="442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overflowPunct w:val="true"/>
                            <w:bidi w:val="0"/>
                            <w:spacing w:before="0" w:after="0"/>
                            <w:contextualSpacing w:val="false"/>
                            <w:jc w:val="right"/>
                            <w:rPr>
                              <w:rFonts w:eastAsia="Andale Sans UI;Arial Unicode MS" w:cs="Marianne"/>
                              <w:b/>
                              <w:bCs/>
                              <w:color w:val="auto"/>
                              <w:kern w:val="2"/>
                              <w:sz w:val="26"/>
                              <w:szCs w:val="26"/>
                              <w:lang w:val="fr-FR" w:eastAsia="ja-JP" w:bidi="fa-I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orme1" path="m0,0l-2147483645,0l-2147483645,-2147483646l0,-2147483646xe" stroked="f" o:allowincell="f" style="position:absolute;margin-left:340.8pt;margin-top:8.2pt;width:192pt;height:34.75pt;mso-wrap-style:none;v-text-anchor:middl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overflowPunct w:val="true"/>
                      <w:bidi w:val="0"/>
                      <w:spacing w:before="0" w:after="0"/>
                      <w:contextualSpacing w:val="false"/>
                      <w:jc w:val="right"/>
                      <w:rPr>
                        <w:rFonts w:eastAsia="Andale Sans UI;Arial Unicode MS" w:cs="Marianne"/>
                        <w:b/>
                        <w:bCs/>
                        <w:color w:val="auto"/>
                        <w:kern w:val="2"/>
                        <w:sz w:val="26"/>
                        <w:szCs w:val="26"/>
                        <w:lang w:val="fr-FR" w:eastAsia="ja-JP" w:bidi="fa-IR"/>
                      </w:rPr>
                    </w:pPr>
                    <w:r>
                      <w:rPr/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rPr>
        <w:b/>
        <w:bCs/>
        <w:sz w:val="24"/>
        <w:szCs w:val="24"/>
      </w:rPr>
      <w:tab/>
    </w:r>
    <w:r>
      <w:rPr>
        <w:rFonts w:eastAsia="Andale Sans UI;Arial Unicode MS" w:cs="Marianne"/>
        <w:b/>
        <w:bCs/>
        <w:color w:val="auto"/>
        <w:kern w:val="2"/>
        <w:sz w:val="26"/>
        <w:szCs w:val="26"/>
        <w:lang w:val="fr-FR" w:eastAsia="ja-JP" w:bidi="fa-IR"/>
      </w:rPr>
      <w:t>Secrétariat général</w:t>
    </w:r>
  </w:p>
  <w:p>
    <w:pPr>
      <w:pStyle w:val="Normal"/>
      <w:tabs>
        <w:tab w:val="clear" w:pos="709"/>
        <w:tab w:val="right" w:pos="9026" w:leader="none"/>
      </w:tabs>
      <w:jc w:val="right"/>
      <w:rPr>
        <w:rFonts w:ascii="Marianne" w:hAnsi="Marianne"/>
        <w:b/>
        <w:bCs/>
        <w:sz w:val="24"/>
        <w:szCs w:val="24"/>
      </w:rPr>
    </w:pPr>
    <w:r>
      <w:rPr>
        <w:rFonts w:eastAsia="Andale Sans UI;Arial Unicode MS" w:cs="Marianne" w:ascii="Marianne" w:hAnsi="Marianne"/>
        <w:b/>
        <w:bCs/>
        <w:color w:val="auto"/>
        <w:kern w:val="2"/>
        <w:sz w:val="26"/>
        <w:szCs w:val="26"/>
        <w:lang w:val="fr-FR" w:eastAsia="ja-JP" w:bidi="fa-IR"/>
      </w:rPr>
      <w:t>pour les affaires régionales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contextualSpacing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next w:val="Normal"/>
    <w:link w:val="Titre1Car"/>
    <w:autoRedefine/>
    <w:qFormat/>
    <w:pPr>
      <w:keepNext w:val="true"/>
      <w:keepLines/>
      <w:numPr>
        <w:ilvl w:val="0"/>
        <w:numId w:val="2"/>
      </w:numPr>
      <w:spacing w:before="200" w:after="200"/>
      <w:contextualSpacing/>
      <w:outlineLvl w:val="0"/>
    </w:pPr>
    <w:rPr>
      <w:rFonts w:ascii="Calibri" w:hAnsi="Calibri" w:eastAsia="" w:cs="" w:cstheme="majorBidi" w:eastAsiaTheme="majorEastAsia"/>
      <w:b/>
      <w:bCs/>
      <w:color w:themeColor="accent1" w:themeShade="bf" w:val="365F91"/>
      <w:sz w:val="28"/>
      <w:szCs w:val="28"/>
      <w:u w:val="single"/>
    </w:rPr>
  </w:style>
  <w:style w:type="paragraph" w:styleId="Heading2">
    <w:name w:val="Heading 2"/>
    <w:basedOn w:val="Normal"/>
    <w:next w:val="Normal"/>
    <w:link w:val="Titre2Car"/>
    <w:uiPriority w:val="9"/>
    <w:unhideWhenUsed/>
    <w:qFormat/>
    <w:pPr>
      <w:keepNext w:val="true"/>
      <w:keepLines/>
      <w:numPr>
        <w:ilvl w:val="1"/>
        <w:numId w:val="2"/>
      </w:numPr>
      <w:spacing w:before="200" w:after="100"/>
      <w:contextualSpacing/>
      <w:outlineLvl w:val="1"/>
    </w:pPr>
    <w:rPr>
      <w:rFonts w:ascii="Calibri" w:hAnsi="Calibri" w:eastAsia="" w:cs="" w:cstheme="majorBidi" w:eastAsiaTheme="majorEastAsia"/>
      <w:bCs/>
      <w:color w:themeColor="accent1" w:val="4F81BD"/>
      <w:sz w:val="24"/>
      <w:szCs w:val="26"/>
      <w:u w:val="single"/>
    </w:rPr>
  </w:style>
  <w:style w:type="paragraph" w:styleId="Heading3">
    <w:name w:val="Heading 3"/>
    <w:basedOn w:val="Normal"/>
    <w:next w:val="Normal"/>
    <w:link w:val="Titre3Car"/>
    <w:autoRedefine/>
    <w:uiPriority w:val="9"/>
    <w:unhideWhenUsed/>
    <w:qFormat/>
    <w:pPr>
      <w:keepNext w:val="true"/>
      <w:keepLines/>
      <w:numPr>
        <w:ilvl w:val="2"/>
        <w:numId w:val="1"/>
      </w:numPr>
      <w:spacing w:before="200" w:after="200"/>
      <w:contextualSpacing/>
      <w:outlineLvl w:val="2"/>
    </w:pPr>
    <w:rPr>
      <w:rFonts w:eastAsia="" w:cs="" w:cstheme="majorBidi" w:eastAsiaTheme="majorEastAsia"/>
      <w:b/>
      <w:bCs/>
      <w:color w:themeColor="text1"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qFormat/>
    <w:rPr>
      <w:rFonts w:ascii="Calibri" w:hAnsi="Calibri" w:eastAsia="" w:cs="" w:cstheme="majorBidi" w:eastAsiaTheme="majorEastAsia"/>
      <w:b/>
      <w:bCs/>
      <w:color w:themeColor="accent1" w:themeShade="bf" w:val="365F91"/>
      <w:sz w:val="28"/>
      <w:szCs w:val="28"/>
      <w:u w:val="single"/>
    </w:rPr>
  </w:style>
  <w:style w:type="character" w:styleId="Titre2Car" w:customStyle="1">
    <w:name w:val="Titre 2 Car"/>
    <w:basedOn w:val="DefaultParagraphFont"/>
    <w:uiPriority w:val="9"/>
    <w:qFormat/>
    <w:rPr>
      <w:rFonts w:ascii="Calibri" w:hAnsi="Calibri" w:eastAsia="" w:cs="" w:cstheme="majorBidi" w:eastAsiaTheme="majorEastAsia"/>
      <w:bCs/>
      <w:color w:themeColor="accent1" w:val="4F81BD"/>
      <w:sz w:val="24"/>
      <w:szCs w:val="26"/>
      <w:u w:val="single"/>
    </w:rPr>
  </w:style>
  <w:style w:type="character" w:styleId="Titre3Car" w:customStyle="1">
    <w:name w:val="Titre 3 Car"/>
    <w:basedOn w:val="DefaultParagraphFont"/>
    <w:uiPriority w:val="9"/>
    <w:qFormat/>
    <w:rPr>
      <w:rFonts w:eastAsia="" w:cs="" w:cstheme="majorBidi" w:eastAsiaTheme="majorEastAsia"/>
      <w:b/>
      <w:bCs/>
      <w:color w:themeColor="text1" w:val="000000"/>
    </w:rPr>
  </w:style>
  <w:style w:type="character" w:styleId="CorpsdetexteCar" w:customStyle="1">
    <w:name w:val="Corps de texte Car"/>
    <w:basedOn w:val="DefaultParagraphFont"/>
    <w:qFormat/>
    <w:rPr>
      <w:rFonts w:ascii="Liberation Sans" w:hAnsi="Liberation Sans" w:eastAsia="SimSun" w:cs="Mangal"/>
      <w:kern w:val="2"/>
      <w:sz w:val="20"/>
      <w:szCs w:val="24"/>
      <w:lang w:eastAsia="zh-CN" w:bidi="hi-IN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InternetLink">
    <w:name w:val="Internet Link"/>
    <w:qFormat/>
    <w:rPr>
      <w:color w:val="000080"/>
      <w:u w:val="single"/>
    </w:rPr>
  </w:style>
  <w:style w:type="character" w:styleId="NotedebasdepageCar" w:customStyle="1">
    <w:name w:val="Note de bas de page Car"/>
    <w:basedOn w:val="DefaultParagraphFont"/>
    <w:qFormat/>
    <w:rPr>
      <w:rFonts w:ascii="Liberation Sans" w:hAnsi="Liberation Sans" w:eastAsia="SimSun" w:cs="Mangal"/>
      <w:kern w:val="2"/>
      <w:sz w:val="16"/>
      <w:szCs w:val="20"/>
      <w:lang w:eastAsia="zh-CN" w:bidi="hi-IN"/>
    </w:rPr>
  </w:style>
  <w:style w:type="character" w:styleId="En-tteCar" w:customStyle="1">
    <w:name w:val="En-tête Car"/>
    <w:basedOn w:val="DefaultParagraphFont"/>
    <w:uiPriority w:val="99"/>
    <w:qFormat/>
    <w:rPr/>
  </w:style>
  <w:style w:type="character" w:styleId="PieddepageCar" w:customStyle="1">
    <w:name w:val="Pied de page Car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Pr>
      <w:sz w:val="20"/>
      <w:szCs w:val="20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Pr>
      <w:b/>
      <w:bCs/>
      <w:sz w:val="20"/>
      <w:szCs w:val="20"/>
    </w:rPr>
  </w:style>
  <w:style w:type="character" w:styleId="StandardCar" w:customStyle="1">
    <w:name w:val="Standard Car"/>
    <w:basedOn w:val="DefaultParagraphFont"/>
    <w:link w:val="Standard"/>
    <w:qFormat/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Caractresdenotedebasdepage">
    <w:name w:val="Caractères de note de bas de page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Caractresdenotedefin">
    <w:name w:val="Caractères de note de fin"/>
    <w:qFormat/>
    <w:rPr/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  <w:contextualSpacing w:val="false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pPr>
      <w:widowControl w:val="false"/>
      <w:suppressAutoHyphens w:val="true"/>
      <w:spacing w:before="0" w:after="120"/>
      <w:contextualSpacing w:val="false"/>
      <w:jc w:val="left"/>
    </w:pPr>
    <w:rPr>
      <w:rFonts w:ascii="Liberation Sans" w:hAnsi="Liberation Sans" w:eastAsia="SimSun" w:cs="Mangal"/>
      <w:kern w:val="2"/>
      <w:sz w:val="20"/>
      <w:szCs w:val="24"/>
      <w:lang w:eastAsia="zh-CN" w:bidi="hi-IN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  <w:contextualSpacing w:val="false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ListParagraph">
    <w:name w:val="List Paragraph"/>
    <w:basedOn w:val="Normal"/>
    <w:uiPriority w:val="34"/>
    <w:qFormat/>
    <w:pPr>
      <w:ind w:left="720"/>
    </w:pPr>
    <w:rPr>
      <w:rFonts w:eastAsia="Times New Roman" w:cs="Times New Roman"/>
      <w:lang w:eastAsia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Contenudetableau" w:customStyle="1">
    <w:name w:val="Contenu de tableau"/>
    <w:basedOn w:val="Normal"/>
    <w:qFormat/>
    <w:pPr>
      <w:widowControl w:val="false"/>
      <w:suppressLineNumbers/>
      <w:suppressAutoHyphens w:val="true"/>
      <w:spacing w:before="0" w:after="0"/>
      <w:contextualSpacing w:val="false"/>
      <w:jc w:val="left"/>
    </w:pPr>
    <w:rPr>
      <w:rFonts w:ascii="Liberation Sans" w:hAnsi="Liberation Sans" w:eastAsia="SimSun" w:cs="Mangal"/>
      <w:kern w:val="2"/>
      <w:sz w:val="20"/>
      <w:szCs w:val="24"/>
      <w:lang w:eastAsia="zh-CN" w:bidi="hi-IN"/>
    </w:rPr>
  </w:style>
  <w:style w:type="paragraph" w:styleId="FootnoteText">
    <w:name w:val="Footnote Text"/>
    <w:basedOn w:val="Normal"/>
    <w:link w:val="NotedebasdepageCar"/>
    <w:autoRedefine/>
    <w:pPr>
      <w:widowControl w:val="false"/>
      <w:suppressLineNumbers/>
      <w:suppressAutoHyphens w:val="true"/>
      <w:spacing w:before="0" w:after="0"/>
      <w:ind w:hanging="283" w:left="283"/>
      <w:contextualSpacing w:val="false"/>
    </w:pPr>
    <w:rPr>
      <w:rFonts w:ascii="Liberation Sans" w:hAnsi="Liberation Sans" w:eastAsia="SimSun" w:cs="Mangal"/>
      <w:kern w:val="2"/>
      <w:sz w:val="16"/>
      <w:szCs w:val="20"/>
      <w:lang w:eastAsia="zh-CN" w:bidi="hi-IN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  <w:contextualSpacing w:val="false"/>
      <w:jc w:val="left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link w:val="StandardCar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fr-FR" w:eastAsia="zh-CN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pPr/>
    <w:rPr>
      <w:b/>
      <w:bCs/>
    </w:rPr>
  </w:style>
  <w:style w:type="paragraph" w:styleId="western" w:customStyle="1">
    <w:name w:val="western"/>
    <w:basedOn w:val="Normal"/>
    <w:qFormat/>
    <w:pPr>
      <w:spacing w:before="57" w:after="0"/>
      <w:contextualSpacing w:val="false"/>
    </w:pPr>
    <w:rPr>
      <w:rFonts w:ascii="Marianne" w:hAnsi="Marianne" w:eastAsia="Times New Roman" w:cs="Arial"/>
      <w:b/>
      <w:sz w:val="20"/>
      <w:szCs w:val="20"/>
      <w:lang w:eastAsia="fr-FR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registres.ademe.fr/" TargetMode="External"/><Relationship Id="rId2" Type="http://schemas.openxmlformats.org/officeDocument/2006/relationships/hyperlink" Target="https://registres.ademe.fr/" TargetMode="Externa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C73C-7224-4D82-884E-298F3C34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6</Pages>
  <Words>731</Words>
  <Characters>4238</Characters>
  <CharactersWithSpaces>4972</CharactersWithSpaces>
  <Paragraphs>74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2026-02-13T15:05:17Z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n:bails:IntellectualProperty:Authorization:StartValidity">
    <vt:lpwstr>2026-02-13T15:04:27,340000000</vt:lpwstr>
  </property>
  <property fmtid="{D5CDD505-2E9C-101B-9397-08002B2CF9AE}" pid="3" name="urn:bails:IntellectualProperty:Authorization:StopValidity">
    <vt:lpwstr>None</vt:lpwstr>
  </property>
  <property fmtid="{D5CDD505-2E9C-101B-9397-08002B2CF9AE}" pid="4" name="urn:bails:IntellectualProperty:BusinessAuthorization:Identifier">
    <vt:lpwstr>urn:example:tscp:1</vt:lpwstr>
  </property>
  <property fmtid="{D5CDD505-2E9C-101B-9397-08002B2CF9AE}" pid="5" name="urn:bails:IntellectualProperty:BusinessAuthorization:Locator">
    <vt:lpwstr>None</vt:lpwstr>
  </property>
  <property fmtid="{D5CDD505-2E9C-101B-9397-08002B2CF9AE}" pid="6" name="urn:bails:IntellectualProperty:BusinessAuthorization:Name">
    <vt:lpwstr>None</vt:lpwstr>
  </property>
  <property fmtid="{D5CDD505-2E9C-101B-9397-08002B2CF9AE}" pid="7" name="urn:bails:IntellectualProperty:BusinessAuthorizationCategory:Identifier">
    <vt:lpwstr>urn:example:tscp:1:non-business</vt:lpwstr>
  </property>
  <property fmtid="{D5CDD505-2E9C-101B-9397-08002B2CF9AE}" pid="8" name="urn:bails:IntellectualProperty:BusinessAuthorizationCategory:Identifier:OID">
    <vt:lpwstr>None</vt:lpwstr>
  </property>
  <property fmtid="{D5CDD505-2E9C-101B-9397-08002B2CF9AE}" pid="9" name="urn:bails:IntellectualProperty:BusinessAuthorizationCategory:Locator">
    <vt:lpwstr>None</vt:lpwstr>
  </property>
  <property fmtid="{D5CDD505-2E9C-101B-9397-08002B2CF9AE}" pid="10" name="urn:bails:IntellectualProperty:BusinessAuthorizationCategory:Name">
    <vt:lpwstr>Public</vt:lpwstr>
  </property>
  <property fmtid="{D5CDD505-2E9C-101B-9397-08002B2CF9AE}" pid="11" name="urn:bails:IntellectualProperty:CreationOrigin">
    <vt:lpwstr>BAF_POLICY</vt:lpwstr>
  </property>
  <property fmtid="{D5CDD505-2E9C-101B-9397-08002B2CF9AE}" pid="12" name="urn:bails:IntellectualProperty:Impact:Level:Availability">
    <vt:lpwstr>0</vt:lpwstr>
  </property>
  <property fmtid="{D5CDD505-2E9C-101B-9397-08002B2CF9AE}" pid="13" name="urn:bails:IntellectualProperty:Impact:Level:Confidentiality">
    <vt:lpwstr>0</vt:lpwstr>
  </property>
  <property fmtid="{D5CDD505-2E9C-101B-9397-08002B2CF9AE}" pid="14" name="urn:bails:IntellectualProperty:Impact:Level:Integrity">
    <vt:lpwstr>0</vt:lpwstr>
  </property>
  <property fmtid="{D5CDD505-2E9C-101B-9397-08002B2CF9AE}" pid="15" name="urn:bails:IntellectualProperty:Impact:Scale">
    <vt:lpwstr>UK-Cabinet</vt:lpwstr>
  </property>
  <property fmtid="{D5CDD505-2E9C-101B-9397-08002B2CF9AE}" pid="16" name="urn:bails:IntellectualProperty:Marking:document-footer">
    <vt:lpwstr/>
  </property>
  <property fmtid="{D5CDD505-2E9C-101B-9397-08002B2CF9AE}" pid="17" name="urn:bails:IntellectualProperty:Marking:document-header">
    <vt:lpwstr/>
  </property>
  <property fmtid="{D5CDD505-2E9C-101B-9397-08002B2CF9AE}" pid="18" name="urn:bails:IntellectualProperty:Marking:document-watermark">
    <vt:lpwstr/>
  </property>
  <property fmtid="{D5CDD505-2E9C-101B-9397-08002B2CF9AE}" pid="19" name="urn:bails:IntellectualProperty:Marking:email-first-line-of-text">
    <vt:lpwstr/>
  </property>
  <property fmtid="{D5CDD505-2E9C-101B-9397-08002B2CF9AE}" pid="20" name="urn:bails:IntellectualProperty:Marking:email-last-line-of-text">
    <vt:lpwstr/>
  </property>
  <property fmtid="{D5CDD505-2E9C-101B-9397-08002B2CF9AE}" pid="21" name="urn:bails:IntellectualProperty:Marking:email-subject-prefix">
    <vt:lpwstr/>
  </property>
  <property fmtid="{D5CDD505-2E9C-101B-9397-08002B2CF9AE}" pid="22" name="urn:bails:IntellectualProperty:Marking:email-subject-suffix">
    <vt:lpwstr/>
  </property>
  <property fmtid="{D5CDD505-2E9C-101B-9397-08002B2CF9AE}" pid="23" name="urn:bails:IntellectualProperty:Marking:general-distribution-statement">
    <vt:lpwstr/>
  </property>
  <property fmtid="{D5CDD505-2E9C-101B-9397-08002B2CF9AE}" pid="24" name="urn:bails:IntellectualProperty:Marking:general-distribution-statement:ext:2">
    <vt:lpwstr/>
  </property>
  <property fmtid="{D5CDD505-2E9C-101B-9397-08002B2CF9AE}" pid="25" name="urn:bails:IntellectualProperty:Marking:general-distribution-statement:ext:3">
    <vt:lpwstr/>
  </property>
  <property fmtid="{D5CDD505-2E9C-101B-9397-08002B2CF9AE}" pid="26" name="urn:bails:IntellectualProperty:Marking:general-distribution-statement:ext:4">
    <vt:lpwstr/>
  </property>
  <property fmtid="{D5CDD505-2E9C-101B-9397-08002B2CF9AE}" pid="27" name="urn:bails:IntellectualProperty:Marking:general-summary">
    <vt:lpwstr/>
  </property>
  <property fmtid="{D5CDD505-2E9C-101B-9397-08002B2CF9AE}" pid="28" name="urn:bails:IntellectualProperty:Marking:general-warning-statement">
    <vt:lpwstr/>
  </property>
  <property fmtid="{D5CDD505-2E9C-101B-9397-08002B2CF9AE}" pid="29" name="urn:bails:IntellectualProperty:Marking:general-warning-statement:ext:2">
    <vt:lpwstr/>
  </property>
  <property fmtid="{D5CDD505-2E9C-101B-9397-08002B2CF9AE}" pid="30" name="urn:bails:IntellectualProperty:Marking:general-warning-statement:ext:3">
    <vt:lpwstr/>
  </property>
  <property fmtid="{D5CDD505-2E9C-101B-9397-08002B2CF9AE}" pid="31" name="urn:bails:IntellectualProperty:Marking:general-warning-statement:ext:4">
    <vt:lpwstr/>
  </property>
  <property fmtid="{D5CDD505-2E9C-101B-9397-08002B2CF9AE}" pid="32" name="urn:bails:IntellectualProperty:MarkingPrecedence">
    <vt:lpwstr>None</vt:lpwstr>
  </property>
  <property fmtid="{D5CDD505-2E9C-101B-9397-08002B2CF9AE}" pid="33" name="urn:bails:IntellectualProperty:Policy:Identifier">
    <vt:lpwstr>None</vt:lpwstr>
  </property>
  <property fmtid="{D5CDD505-2E9C-101B-9397-08002B2CF9AE}" pid="34" name="urn:bails:IntellectualProperty:Policy:Name">
    <vt:lpwstr>Exemple de stratégie TSCP</vt:lpwstr>
  </property>
  <property fmtid="{D5CDD505-2E9C-101B-9397-08002B2CF9AE}" pid="35" name="urn:bails:IntellectualProperty:PolicyAuthority:Country">
    <vt:lpwstr>None</vt:lpwstr>
  </property>
  <property fmtid="{D5CDD505-2E9C-101B-9397-08002B2CF9AE}" pid="36" name="urn:bails:IntellectualProperty:PolicyAuthority:Identifier">
    <vt:lpwstr>None</vt:lpwstr>
  </property>
  <property fmtid="{D5CDD505-2E9C-101B-9397-08002B2CF9AE}" pid="37" name="urn:bails:IntellectualProperty:PolicyAuthority:Name">
    <vt:lpwstr>Exemple d'autorité TSCP</vt:lpwstr>
  </property>
</Properties>
</file>